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right="0" w:rightChars="0"/>
        <w:jc w:val="both"/>
        <w:textAlignment w:val="auto"/>
        <w:outlineLvl w:val="9"/>
        <w:rPr>
          <w:rFonts w:hint="default" w:ascii="Times New Roman" w:hAnsi="Times New Roman" w:eastAsia="方正仿宋_GBK" w:cs="Times New Roman"/>
          <w:color w:val="auto"/>
          <w:sz w:val="32"/>
          <w:szCs w:val="32"/>
          <w:highlight w:val="none"/>
          <w:lang w:val="en-US" w:eastAsia="zh-CN"/>
        </w:rPr>
      </w:pPr>
      <w:bookmarkStart w:id="0" w:name="_GoBack"/>
      <w:r>
        <w:rPr>
          <w:rFonts w:hint="default" w:ascii="Times New Roman" w:hAnsi="Times New Roman" w:eastAsia="方正仿宋_GBK" w:cs="Times New Roman"/>
          <w:color w:val="auto"/>
          <w:sz w:val="32"/>
          <w:szCs w:val="32"/>
          <w:highlight w:val="none"/>
          <w:lang w:val="en-US" w:eastAsia="zh-CN"/>
        </w:rPr>
        <w:t>附件2</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default" w:ascii="Times New Roman" w:hAnsi="Times New Roman" w:eastAsia="方正小标宋_GBK" w:cs="Times New Roman"/>
          <w:color w:val="auto"/>
          <w:sz w:val="44"/>
          <w:szCs w:val="44"/>
          <w:highlight w:val="none"/>
          <w:lang w:eastAsia="zh-CN"/>
        </w:rPr>
      </w:pPr>
      <w:r>
        <w:rPr>
          <w:rFonts w:hint="default" w:ascii="Times New Roman" w:hAnsi="Times New Roman" w:eastAsia="方正小标宋_GBK" w:cs="Times New Roman"/>
          <w:color w:val="auto"/>
          <w:sz w:val="44"/>
          <w:szCs w:val="44"/>
          <w:highlight w:val="none"/>
          <w:lang w:eastAsia="zh-CN"/>
        </w:rPr>
        <w:t>江苏省消防安全重点单位申报备案登记表</w:t>
      </w:r>
    </w:p>
    <w:bookmarkEnd w:id="0"/>
    <w:tbl>
      <w:tblPr>
        <w:tblStyle w:val="2"/>
        <w:tblW w:w="105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9"/>
        <w:gridCol w:w="1080"/>
        <w:gridCol w:w="1116"/>
        <w:gridCol w:w="146"/>
        <w:gridCol w:w="906"/>
        <w:gridCol w:w="64"/>
        <w:gridCol w:w="1116"/>
        <w:gridCol w:w="72"/>
        <w:gridCol w:w="1044"/>
        <w:gridCol w:w="1104"/>
        <w:gridCol w:w="1272"/>
        <w:gridCol w:w="2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2" w:hRule="atLeast"/>
          <w:jc w:val="center"/>
        </w:trPr>
        <w:tc>
          <w:tcPr>
            <w:tcW w:w="1619" w:type="dxa"/>
            <w:gridSpan w:val="2"/>
            <w:tcBorders>
              <w:top w:val="single" w:color="auto" w:sz="4" w:space="0"/>
              <w:left w:val="single" w:color="auto" w:sz="4" w:space="0"/>
            </w:tcBorders>
            <w:noWrap w:val="0"/>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单位名称</w:t>
            </w:r>
          </w:p>
        </w:tc>
        <w:tc>
          <w:tcPr>
            <w:tcW w:w="5568" w:type="dxa"/>
            <w:gridSpan w:val="8"/>
            <w:tcBorders>
              <w:top w:val="single" w:color="auto" w:sz="4" w:space="0"/>
            </w:tcBorders>
            <w:noWrap w:val="0"/>
            <w:vAlign w:val="center"/>
          </w:tcPr>
          <w:p>
            <w:pPr>
              <w:spacing w:line="360" w:lineRule="auto"/>
              <w:jc w:val="center"/>
              <w:rPr>
                <w:rFonts w:hint="default" w:ascii="Times New Roman" w:hAnsi="Times New Roman" w:cs="Times New Roman"/>
                <w:szCs w:val="21"/>
              </w:rPr>
            </w:pPr>
          </w:p>
        </w:tc>
        <w:tc>
          <w:tcPr>
            <w:tcW w:w="1272" w:type="dxa"/>
            <w:tcBorders>
              <w:top w:val="single" w:color="auto" w:sz="4" w:space="0"/>
            </w:tcBorders>
            <w:noWrap w:val="0"/>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联系电话</w:t>
            </w:r>
          </w:p>
        </w:tc>
        <w:tc>
          <w:tcPr>
            <w:tcW w:w="2058" w:type="dxa"/>
            <w:tcBorders>
              <w:top w:val="single" w:color="auto" w:sz="4" w:space="0"/>
              <w:right w:val="single" w:color="auto" w:sz="4" w:space="0"/>
            </w:tcBorders>
            <w:noWrap w:val="0"/>
            <w:vAlign w:val="center"/>
          </w:tcPr>
          <w:p>
            <w:pPr>
              <w:spacing w:line="360" w:lineRule="auto"/>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619" w:type="dxa"/>
            <w:gridSpan w:val="2"/>
            <w:tcBorders>
              <w:left w:val="single" w:color="auto" w:sz="4" w:space="0"/>
            </w:tcBorders>
            <w:noWrap w:val="0"/>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地址</w:t>
            </w:r>
          </w:p>
        </w:tc>
        <w:tc>
          <w:tcPr>
            <w:tcW w:w="5568" w:type="dxa"/>
            <w:gridSpan w:val="8"/>
            <w:noWrap w:val="0"/>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 xml:space="preserve">     市        区（县）      路（乡、镇）        号</w:t>
            </w:r>
          </w:p>
        </w:tc>
        <w:tc>
          <w:tcPr>
            <w:tcW w:w="1272" w:type="dxa"/>
            <w:noWrap w:val="0"/>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邮编</w:t>
            </w:r>
          </w:p>
        </w:tc>
        <w:tc>
          <w:tcPr>
            <w:tcW w:w="2058" w:type="dxa"/>
            <w:tcBorders>
              <w:right w:val="single" w:color="auto" w:sz="4" w:space="0"/>
            </w:tcBorders>
            <w:noWrap w:val="0"/>
            <w:vAlign w:val="center"/>
          </w:tcPr>
          <w:p>
            <w:pPr>
              <w:spacing w:line="360" w:lineRule="auto"/>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619" w:type="dxa"/>
            <w:gridSpan w:val="2"/>
            <w:tcBorders>
              <w:left w:val="single" w:color="auto" w:sz="4" w:space="0"/>
            </w:tcBorders>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法定代表人或主要负责人</w:t>
            </w:r>
          </w:p>
        </w:tc>
        <w:tc>
          <w:tcPr>
            <w:tcW w:w="1116" w:type="dxa"/>
            <w:noWrap w:val="0"/>
            <w:vAlign w:val="center"/>
          </w:tcPr>
          <w:p>
            <w:pPr>
              <w:jc w:val="center"/>
              <w:rPr>
                <w:rFonts w:hint="default" w:ascii="Times New Roman" w:hAnsi="Times New Roman" w:cs="Times New Roman"/>
                <w:szCs w:val="21"/>
              </w:rPr>
            </w:pPr>
          </w:p>
        </w:tc>
        <w:tc>
          <w:tcPr>
            <w:tcW w:w="1116" w:type="dxa"/>
            <w:gridSpan w:val="3"/>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消防安全</w:t>
            </w:r>
          </w:p>
          <w:p>
            <w:pPr>
              <w:jc w:val="center"/>
              <w:rPr>
                <w:rFonts w:hint="default" w:ascii="Times New Roman" w:hAnsi="Times New Roman" w:cs="Times New Roman"/>
                <w:szCs w:val="21"/>
              </w:rPr>
            </w:pPr>
            <w:r>
              <w:rPr>
                <w:rFonts w:hint="default" w:ascii="Times New Roman" w:hAnsi="Times New Roman" w:cs="Times New Roman"/>
                <w:szCs w:val="21"/>
              </w:rPr>
              <w:t>责任人</w:t>
            </w:r>
          </w:p>
        </w:tc>
        <w:tc>
          <w:tcPr>
            <w:tcW w:w="1116" w:type="dxa"/>
            <w:noWrap w:val="0"/>
            <w:vAlign w:val="center"/>
          </w:tcPr>
          <w:p>
            <w:pPr>
              <w:jc w:val="center"/>
              <w:rPr>
                <w:rFonts w:hint="default" w:ascii="Times New Roman" w:hAnsi="Times New Roman" w:cs="Times New Roman"/>
                <w:szCs w:val="21"/>
              </w:rPr>
            </w:pPr>
          </w:p>
        </w:tc>
        <w:tc>
          <w:tcPr>
            <w:tcW w:w="1116" w:type="dxa"/>
            <w:gridSpan w:val="2"/>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消防安全</w:t>
            </w:r>
          </w:p>
          <w:p>
            <w:pPr>
              <w:jc w:val="center"/>
              <w:rPr>
                <w:rFonts w:hint="default" w:ascii="Times New Roman" w:hAnsi="Times New Roman" w:cs="Times New Roman"/>
                <w:szCs w:val="21"/>
              </w:rPr>
            </w:pPr>
            <w:r>
              <w:rPr>
                <w:rFonts w:hint="default" w:ascii="Times New Roman" w:hAnsi="Times New Roman" w:cs="Times New Roman"/>
                <w:szCs w:val="21"/>
              </w:rPr>
              <w:t>管理人</w:t>
            </w:r>
          </w:p>
        </w:tc>
        <w:tc>
          <w:tcPr>
            <w:tcW w:w="1104" w:type="dxa"/>
            <w:noWrap w:val="0"/>
            <w:vAlign w:val="center"/>
          </w:tcPr>
          <w:p>
            <w:pPr>
              <w:jc w:val="center"/>
              <w:rPr>
                <w:rFonts w:hint="default" w:ascii="Times New Roman" w:hAnsi="Times New Roman" w:cs="Times New Roman"/>
                <w:szCs w:val="21"/>
              </w:rPr>
            </w:pPr>
          </w:p>
        </w:tc>
        <w:tc>
          <w:tcPr>
            <w:tcW w:w="1272" w:type="dxa"/>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职工人数（人）</w:t>
            </w:r>
          </w:p>
        </w:tc>
        <w:tc>
          <w:tcPr>
            <w:tcW w:w="2058" w:type="dxa"/>
            <w:tcBorders>
              <w:right w:val="single" w:color="auto" w:sz="4" w:space="0"/>
            </w:tcBorders>
            <w:noWrap w:val="0"/>
            <w:vAlign w:val="center"/>
          </w:tcPr>
          <w:p>
            <w:pPr>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19" w:type="dxa"/>
            <w:gridSpan w:val="2"/>
            <w:tcBorders>
              <w:left w:val="single" w:color="auto" w:sz="4" w:space="0"/>
            </w:tcBorders>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有无自动</w:t>
            </w:r>
          </w:p>
          <w:p>
            <w:pPr>
              <w:jc w:val="center"/>
              <w:rPr>
                <w:rFonts w:hint="default" w:ascii="Times New Roman" w:hAnsi="Times New Roman" w:cs="Times New Roman"/>
                <w:szCs w:val="21"/>
              </w:rPr>
            </w:pPr>
            <w:r>
              <w:rPr>
                <w:rFonts w:hint="default" w:ascii="Times New Roman" w:hAnsi="Times New Roman" w:cs="Times New Roman"/>
                <w:szCs w:val="21"/>
              </w:rPr>
              <w:t>消防设施</w:t>
            </w:r>
          </w:p>
        </w:tc>
        <w:tc>
          <w:tcPr>
            <w:tcW w:w="2168" w:type="dxa"/>
            <w:gridSpan w:val="3"/>
            <w:noWrap w:val="0"/>
            <w:vAlign w:val="center"/>
          </w:tcPr>
          <w:p>
            <w:pPr>
              <w:spacing w:line="480" w:lineRule="auto"/>
              <w:ind w:firstLine="420" w:firstLineChars="200"/>
              <w:rPr>
                <w:rFonts w:hint="default" w:ascii="Times New Roman" w:hAnsi="Times New Roman" w:cs="Times New Roman"/>
                <w:szCs w:val="21"/>
              </w:rPr>
            </w:pPr>
            <w:r>
              <w:rPr>
                <w:rFonts w:hint="default" w:ascii="Times New Roman" w:hAnsi="Times New Roman" w:cs="Times New Roman"/>
                <w:szCs w:val="21"/>
              </w:rPr>
              <w:t>□有   □无</w:t>
            </w:r>
          </w:p>
        </w:tc>
        <w:tc>
          <w:tcPr>
            <w:tcW w:w="1252" w:type="dxa"/>
            <w:gridSpan w:val="3"/>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固定资产（万元）</w:t>
            </w:r>
          </w:p>
        </w:tc>
        <w:tc>
          <w:tcPr>
            <w:tcW w:w="2148" w:type="dxa"/>
            <w:gridSpan w:val="2"/>
            <w:noWrap w:val="0"/>
            <w:vAlign w:val="center"/>
          </w:tcPr>
          <w:p>
            <w:pPr>
              <w:jc w:val="center"/>
              <w:rPr>
                <w:rFonts w:hint="default" w:ascii="Times New Roman" w:hAnsi="Times New Roman" w:cs="Times New Roman"/>
                <w:szCs w:val="21"/>
              </w:rPr>
            </w:pPr>
          </w:p>
        </w:tc>
        <w:tc>
          <w:tcPr>
            <w:tcW w:w="1272" w:type="dxa"/>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占地面积（㎡）</w:t>
            </w:r>
          </w:p>
        </w:tc>
        <w:tc>
          <w:tcPr>
            <w:tcW w:w="2058" w:type="dxa"/>
            <w:tcBorders>
              <w:right w:val="single" w:color="auto" w:sz="4" w:space="0"/>
            </w:tcBorders>
            <w:noWrap w:val="0"/>
            <w:vAlign w:val="center"/>
          </w:tcPr>
          <w:p>
            <w:pPr>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1619" w:type="dxa"/>
            <w:gridSpan w:val="2"/>
            <w:tcBorders>
              <w:left w:val="single" w:color="auto" w:sz="4" w:space="0"/>
            </w:tcBorders>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建筑层数</w:t>
            </w:r>
          </w:p>
        </w:tc>
        <w:tc>
          <w:tcPr>
            <w:tcW w:w="2168" w:type="dxa"/>
            <w:gridSpan w:val="3"/>
            <w:noWrap w:val="0"/>
            <w:vAlign w:val="center"/>
          </w:tcPr>
          <w:p>
            <w:pPr>
              <w:spacing w:line="480" w:lineRule="auto"/>
              <w:jc w:val="center"/>
              <w:rPr>
                <w:rFonts w:hint="default" w:ascii="Times New Roman" w:hAnsi="Times New Roman" w:cs="Times New Roman"/>
                <w:szCs w:val="21"/>
              </w:rPr>
            </w:pPr>
          </w:p>
        </w:tc>
        <w:tc>
          <w:tcPr>
            <w:tcW w:w="1252" w:type="dxa"/>
            <w:gridSpan w:val="3"/>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建筑高度</w:t>
            </w:r>
          </w:p>
          <w:p>
            <w:pPr>
              <w:jc w:val="center"/>
              <w:rPr>
                <w:rFonts w:hint="default" w:ascii="Times New Roman" w:hAnsi="Times New Roman" w:cs="Times New Roman"/>
                <w:szCs w:val="21"/>
              </w:rPr>
            </w:pPr>
            <w:r>
              <w:rPr>
                <w:rFonts w:hint="default" w:ascii="Times New Roman" w:hAnsi="Times New Roman" w:cs="Times New Roman"/>
                <w:szCs w:val="21"/>
              </w:rPr>
              <w:t>（m）</w:t>
            </w:r>
          </w:p>
        </w:tc>
        <w:tc>
          <w:tcPr>
            <w:tcW w:w="2148" w:type="dxa"/>
            <w:gridSpan w:val="2"/>
            <w:noWrap w:val="0"/>
            <w:vAlign w:val="center"/>
          </w:tcPr>
          <w:p>
            <w:pPr>
              <w:jc w:val="center"/>
              <w:rPr>
                <w:rFonts w:hint="default" w:ascii="Times New Roman" w:hAnsi="Times New Roman" w:cs="Times New Roman"/>
                <w:szCs w:val="21"/>
              </w:rPr>
            </w:pPr>
          </w:p>
        </w:tc>
        <w:tc>
          <w:tcPr>
            <w:tcW w:w="1272" w:type="dxa"/>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建筑面积（㎡）</w:t>
            </w:r>
          </w:p>
        </w:tc>
        <w:tc>
          <w:tcPr>
            <w:tcW w:w="2058" w:type="dxa"/>
            <w:tcBorders>
              <w:right w:val="single" w:color="auto" w:sz="4" w:space="0"/>
            </w:tcBorders>
            <w:noWrap w:val="0"/>
            <w:vAlign w:val="center"/>
          </w:tcPr>
          <w:p>
            <w:pPr>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619" w:type="dxa"/>
            <w:gridSpan w:val="2"/>
            <w:tcBorders>
              <w:left w:val="single" w:color="auto" w:sz="4" w:space="0"/>
            </w:tcBorders>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组织机构代码</w:t>
            </w:r>
          </w:p>
        </w:tc>
        <w:tc>
          <w:tcPr>
            <w:tcW w:w="2168" w:type="dxa"/>
            <w:gridSpan w:val="3"/>
            <w:noWrap w:val="0"/>
            <w:vAlign w:val="center"/>
          </w:tcPr>
          <w:p>
            <w:pPr>
              <w:spacing w:line="480" w:lineRule="auto"/>
              <w:jc w:val="center"/>
              <w:rPr>
                <w:rFonts w:hint="default" w:ascii="Times New Roman" w:hAnsi="Times New Roman" w:cs="Times New Roman"/>
                <w:szCs w:val="21"/>
              </w:rPr>
            </w:pPr>
          </w:p>
        </w:tc>
        <w:tc>
          <w:tcPr>
            <w:tcW w:w="1252" w:type="dxa"/>
            <w:gridSpan w:val="3"/>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单位成立时间</w:t>
            </w:r>
          </w:p>
        </w:tc>
        <w:tc>
          <w:tcPr>
            <w:tcW w:w="2148" w:type="dxa"/>
            <w:gridSpan w:val="2"/>
            <w:noWrap w:val="0"/>
            <w:vAlign w:val="center"/>
          </w:tcPr>
          <w:p>
            <w:pPr>
              <w:jc w:val="center"/>
              <w:rPr>
                <w:rFonts w:hint="default" w:ascii="Times New Roman" w:hAnsi="Times New Roman" w:cs="Times New Roman"/>
                <w:szCs w:val="21"/>
              </w:rPr>
            </w:pPr>
          </w:p>
        </w:tc>
        <w:tc>
          <w:tcPr>
            <w:tcW w:w="1272" w:type="dxa"/>
            <w:noWrap w:val="0"/>
            <w:vAlign w:val="center"/>
          </w:tcPr>
          <w:p>
            <w:pPr>
              <w:jc w:val="center"/>
              <w:rPr>
                <w:rFonts w:hint="default" w:ascii="Times New Roman" w:hAnsi="Times New Roman" w:cs="Times New Roman"/>
                <w:szCs w:val="21"/>
              </w:rPr>
            </w:pPr>
            <w:r>
              <w:rPr>
                <w:rFonts w:hint="default" w:ascii="Times New Roman" w:hAnsi="Times New Roman" w:cs="Times New Roman"/>
                <w:szCs w:val="21"/>
              </w:rPr>
              <w:t>上级主管</w:t>
            </w:r>
          </w:p>
          <w:p>
            <w:pPr>
              <w:jc w:val="center"/>
              <w:rPr>
                <w:rFonts w:hint="default" w:ascii="Times New Roman" w:hAnsi="Times New Roman" w:cs="Times New Roman"/>
                <w:szCs w:val="21"/>
              </w:rPr>
            </w:pPr>
            <w:r>
              <w:rPr>
                <w:rFonts w:hint="default" w:ascii="Times New Roman" w:hAnsi="Times New Roman" w:cs="Times New Roman"/>
                <w:szCs w:val="21"/>
              </w:rPr>
              <w:t>部门</w:t>
            </w:r>
          </w:p>
        </w:tc>
        <w:tc>
          <w:tcPr>
            <w:tcW w:w="2058" w:type="dxa"/>
            <w:tcBorders>
              <w:right w:val="single" w:color="auto" w:sz="4" w:space="0"/>
            </w:tcBorders>
            <w:noWrap w:val="0"/>
            <w:vAlign w:val="center"/>
          </w:tcPr>
          <w:p>
            <w:pPr>
              <w:jc w:val="center"/>
              <w:rPr>
                <w:rFonts w:hint="default" w:ascii="Times New Roman" w:hAnsi="Times New Roman" w:cs="Times New Roman"/>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1619" w:type="dxa"/>
            <w:gridSpan w:val="2"/>
            <w:tcBorders>
              <w:left w:val="single" w:color="auto" w:sz="4" w:space="0"/>
            </w:tcBorders>
            <w:noWrap w:val="0"/>
            <w:vAlign w:val="center"/>
          </w:tcPr>
          <w:p>
            <w:pPr>
              <w:spacing w:line="480" w:lineRule="auto"/>
              <w:jc w:val="center"/>
              <w:rPr>
                <w:rFonts w:hint="default" w:ascii="Times New Roman" w:hAnsi="Times New Roman" w:cs="Times New Roman"/>
                <w:szCs w:val="21"/>
              </w:rPr>
            </w:pPr>
            <w:r>
              <w:rPr>
                <w:rFonts w:hint="default" w:ascii="Times New Roman" w:hAnsi="Times New Roman" w:cs="Times New Roman"/>
                <w:szCs w:val="21"/>
              </w:rPr>
              <w:t>单位性质</w:t>
            </w:r>
          </w:p>
        </w:tc>
        <w:tc>
          <w:tcPr>
            <w:tcW w:w="8898" w:type="dxa"/>
            <w:gridSpan w:val="10"/>
            <w:tcBorders>
              <w:right w:val="single" w:color="auto" w:sz="4" w:space="0"/>
            </w:tcBorders>
            <w:noWrap w:val="0"/>
            <w:vAlign w:val="top"/>
          </w:tcPr>
          <w:p>
            <w:pPr>
              <w:ind w:firstLine="210" w:firstLineChars="100"/>
              <w:rPr>
                <w:rFonts w:hint="default" w:ascii="Times New Roman" w:hAnsi="Times New Roman" w:cs="Times New Roman"/>
                <w:szCs w:val="21"/>
              </w:rPr>
            </w:pPr>
            <w:r>
              <w:rPr>
                <w:rFonts w:hint="default" w:ascii="Times New Roman" w:hAnsi="Times New Roman" w:cs="Times New Roman"/>
                <w:szCs w:val="21"/>
              </w:rPr>
              <w:t>□机关      □团体       □事业      □国有企业     □集体企业     □私营企业</w:t>
            </w:r>
          </w:p>
          <w:p>
            <w:pPr>
              <w:ind w:firstLine="210" w:firstLineChars="100"/>
              <w:rPr>
                <w:rFonts w:hint="default" w:ascii="Times New Roman" w:hAnsi="Times New Roman" w:cs="Times New Roman"/>
                <w:szCs w:val="21"/>
              </w:rPr>
            </w:pPr>
            <w:r>
              <w:rPr>
                <w:rFonts w:hint="default" w:ascii="Times New Roman" w:hAnsi="Times New Roman" w:cs="Times New Roman"/>
                <w:szCs w:val="21"/>
              </w:rPr>
              <w:t>□联营企业  □股份制企业    □外商投资企业     □港澳台投资企业    □其他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jc w:val="center"/>
        </w:trPr>
        <w:tc>
          <w:tcPr>
            <w:tcW w:w="539" w:type="dxa"/>
            <w:vMerge w:val="restart"/>
            <w:tcBorders>
              <w:left w:val="single" w:color="auto" w:sz="4" w:space="0"/>
            </w:tcBorders>
            <w:noWrap w:val="0"/>
            <w:vAlign w:val="top"/>
          </w:tcPr>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rPr>
                <w:rFonts w:hint="default" w:ascii="Times New Roman" w:hAnsi="Times New Roman" w:cs="Times New Roman"/>
                <w:szCs w:val="21"/>
              </w:rPr>
            </w:pPr>
          </w:p>
          <w:p>
            <w:pPr>
              <w:jc w:val="center"/>
              <w:rPr>
                <w:rFonts w:hint="default" w:ascii="Times New Roman" w:hAnsi="Times New Roman" w:cs="Times New Roman"/>
                <w:szCs w:val="21"/>
              </w:rPr>
            </w:pPr>
            <w:r>
              <w:rPr>
                <w:rFonts w:hint="default" w:ascii="Times New Roman" w:hAnsi="Times New Roman" w:cs="Times New Roman"/>
                <w:szCs w:val="21"/>
              </w:rPr>
              <w:t>登</w:t>
            </w: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r>
              <w:rPr>
                <w:rFonts w:hint="default" w:ascii="Times New Roman" w:hAnsi="Times New Roman" w:cs="Times New Roman"/>
                <w:szCs w:val="21"/>
              </w:rPr>
              <w:t>记</w:t>
            </w: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r>
              <w:rPr>
                <w:rFonts w:hint="default" w:ascii="Times New Roman" w:hAnsi="Times New Roman" w:cs="Times New Roman"/>
                <w:szCs w:val="21"/>
              </w:rPr>
              <w:t>单</w:t>
            </w: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r>
              <w:rPr>
                <w:rFonts w:hint="default" w:ascii="Times New Roman" w:hAnsi="Times New Roman" w:cs="Times New Roman"/>
                <w:szCs w:val="21"/>
              </w:rPr>
              <w:t>位</w:t>
            </w: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r>
              <w:rPr>
                <w:rFonts w:hint="default" w:ascii="Times New Roman" w:hAnsi="Times New Roman" w:cs="Times New Roman"/>
                <w:szCs w:val="21"/>
              </w:rPr>
              <w:t>类</w:t>
            </w: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p>
          <w:p>
            <w:pPr>
              <w:jc w:val="center"/>
              <w:rPr>
                <w:rFonts w:hint="default" w:ascii="Times New Roman" w:hAnsi="Times New Roman" w:cs="Times New Roman"/>
                <w:szCs w:val="21"/>
              </w:rPr>
            </w:pPr>
            <w:r>
              <w:rPr>
                <w:rFonts w:hint="default" w:ascii="Times New Roman" w:hAnsi="Times New Roman" w:cs="Times New Roman"/>
                <w:szCs w:val="21"/>
              </w:rPr>
              <w:t>别</w:t>
            </w:r>
          </w:p>
        </w:tc>
        <w:tc>
          <w:tcPr>
            <w:tcW w:w="2342" w:type="dxa"/>
            <w:gridSpan w:val="3"/>
            <w:noWrap w:val="0"/>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主 类</w:t>
            </w:r>
          </w:p>
        </w:tc>
        <w:tc>
          <w:tcPr>
            <w:tcW w:w="7636" w:type="dxa"/>
            <w:gridSpan w:val="8"/>
            <w:tcBorders>
              <w:right w:val="single" w:color="auto" w:sz="4" w:space="0"/>
            </w:tcBorders>
            <w:noWrap w:val="0"/>
            <w:vAlign w:val="center"/>
          </w:tcPr>
          <w:p>
            <w:pPr>
              <w:spacing w:line="360" w:lineRule="auto"/>
              <w:jc w:val="center"/>
              <w:rPr>
                <w:rFonts w:hint="default" w:ascii="Times New Roman" w:hAnsi="Times New Roman" w:cs="Times New Roman"/>
                <w:szCs w:val="21"/>
              </w:rPr>
            </w:pPr>
            <w:r>
              <w:rPr>
                <w:rFonts w:hint="default" w:ascii="Times New Roman" w:hAnsi="Times New Roman" w:cs="Times New Roman"/>
                <w:szCs w:val="21"/>
              </w:rPr>
              <w:t>分      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5"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restart"/>
            <w:noWrap w:val="0"/>
            <w:vAlign w:val="center"/>
          </w:tcPr>
          <w:p>
            <w:pPr>
              <w:rPr>
                <w:rFonts w:hint="default" w:ascii="Times New Roman" w:hAnsi="Times New Roman" w:cs="Times New Roman"/>
                <w:szCs w:val="21"/>
              </w:rPr>
            </w:pPr>
          </w:p>
          <w:p>
            <w:pPr>
              <w:spacing w:line="288" w:lineRule="auto"/>
              <w:rPr>
                <w:rFonts w:hint="default" w:ascii="Times New Roman" w:hAnsi="Times New Roman" w:cs="Times New Roman"/>
                <w:szCs w:val="21"/>
              </w:rPr>
            </w:pPr>
            <w:r>
              <w:rPr>
                <w:rFonts w:hint="default" w:ascii="Times New Roman" w:hAnsi="Times New Roman" w:cs="Times New Roman"/>
                <w:szCs w:val="21"/>
              </w:rPr>
              <w:t>□ 1、商场（市场）、宾馆（饭店）、体育场（馆）、会堂、公共娱乐场所等公众聚集场所</w:t>
            </w: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1. 1 建筑面积≥1000㎡且经营可燃商品的商场（商店、市场）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8"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1. 2 客房数在50间以上的宾馆（旅店、饭店）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1. 3 公共的体育场（馆）、会堂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1. 4 就餐位在300座以上或就餐营业面积≥500㎡的餐饮场所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1. 5 机位在100台以上的网吧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1. 6 场所建筑面积≥200㎡的歌舞、游艺、放映、休闲等公共娱乐场所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1. 7 设在地下建筑内的公众聚集场所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restart"/>
            <w:noWrap w:val="0"/>
            <w:vAlign w:val="center"/>
          </w:tcPr>
          <w:p>
            <w:pPr>
              <w:spacing w:line="288" w:lineRule="auto"/>
              <w:rPr>
                <w:rFonts w:hint="default" w:ascii="Times New Roman" w:hAnsi="Times New Roman" w:cs="Times New Roman"/>
                <w:szCs w:val="21"/>
              </w:rPr>
            </w:pPr>
            <w:r>
              <w:rPr>
                <w:rFonts w:hint="default" w:ascii="Times New Roman" w:hAnsi="Times New Roman" w:cs="Times New Roman"/>
                <w:szCs w:val="21"/>
              </w:rPr>
              <w:t>□ 2、医院、养老院和寄宿制的学校、托儿所、幼儿园</w:t>
            </w: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2. 1 住院床位在50张以上的医院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2. 2 老人住宿床位在50张以上的养老院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2. 3 学生住宿床位在100张以上的学校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2. 4 幼儿园住宿床（铺）位在50张以上的托儿所、幼儿园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restart"/>
            <w:noWrap w:val="0"/>
            <w:vAlign w:val="center"/>
          </w:tcPr>
          <w:p>
            <w:pPr>
              <w:spacing w:line="480" w:lineRule="auto"/>
              <w:rPr>
                <w:rFonts w:hint="default" w:ascii="Times New Roman" w:hAnsi="Times New Roman" w:cs="Times New Roman"/>
                <w:szCs w:val="21"/>
              </w:rPr>
            </w:pPr>
            <w:r>
              <w:rPr>
                <w:rFonts w:hint="default" w:ascii="Times New Roman" w:hAnsi="Times New Roman" w:cs="Times New Roman"/>
                <w:szCs w:val="21"/>
              </w:rPr>
              <w:t>□ 3、国家机关</w:t>
            </w: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3. 1 县级以上的党委、人大、政府、政协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3. 2 人民检察院、人民法院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restart"/>
            <w:noWrap w:val="0"/>
            <w:vAlign w:val="center"/>
          </w:tcPr>
          <w:p>
            <w:pPr>
              <w:rPr>
                <w:rFonts w:hint="default" w:ascii="Times New Roman" w:hAnsi="Times New Roman" w:cs="Times New Roman"/>
                <w:szCs w:val="21"/>
              </w:rPr>
            </w:pPr>
            <w:r>
              <w:rPr>
                <w:rFonts w:hint="default" w:ascii="Times New Roman" w:hAnsi="Times New Roman" w:cs="Times New Roman"/>
                <w:szCs w:val="21"/>
              </w:rPr>
              <w:t>□ 4、广播电台、电视台和邮政、通信枢纽</w:t>
            </w: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4 .1 广播电台、电视台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4. 2 城镇的邮政和通信枢纽单位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restart"/>
            <w:noWrap w:val="0"/>
            <w:vAlign w:val="center"/>
          </w:tcPr>
          <w:p>
            <w:pPr>
              <w:rPr>
                <w:rFonts w:hint="default" w:ascii="Times New Roman" w:hAnsi="Times New Roman" w:cs="Times New Roman"/>
                <w:szCs w:val="21"/>
              </w:rPr>
            </w:pPr>
            <w:r>
              <w:rPr>
                <w:rFonts w:hint="default" w:ascii="Times New Roman" w:hAnsi="Times New Roman" w:cs="Times New Roman"/>
                <w:szCs w:val="21"/>
              </w:rPr>
              <w:t>□ 5、客运车站、码头、民用机场</w:t>
            </w: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5. 1 候车亭、候船厅的建筑面积≥500㎡的客运车站和客运码头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5. 2 民用机场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restart"/>
            <w:noWrap w:val="0"/>
            <w:vAlign w:val="center"/>
          </w:tcPr>
          <w:p>
            <w:pPr>
              <w:rPr>
                <w:rFonts w:hint="default" w:ascii="Times New Roman" w:hAnsi="Times New Roman" w:cs="Times New Roman"/>
                <w:szCs w:val="21"/>
              </w:rPr>
            </w:pPr>
            <w:r>
              <w:rPr>
                <w:rFonts w:hint="default" w:ascii="Times New Roman" w:hAnsi="Times New Roman" w:cs="Times New Roman"/>
                <w:szCs w:val="21"/>
              </w:rPr>
              <w:t>□ 6、公共图书馆、展览馆、博物馆、档案馆以及具有火灾危险性的文物保护单位</w:t>
            </w:r>
          </w:p>
        </w:tc>
        <w:tc>
          <w:tcPr>
            <w:tcW w:w="7636" w:type="dxa"/>
            <w:gridSpan w:val="8"/>
            <w:tcBorders>
              <w:right w:val="single" w:color="auto" w:sz="4" w:space="0"/>
            </w:tcBorders>
            <w:noWrap w:val="0"/>
            <w:vAlign w:val="top"/>
          </w:tcPr>
          <w:p>
            <w:pPr>
              <w:spacing w:line="312" w:lineRule="auto"/>
              <w:rPr>
                <w:rFonts w:hint="default" w:ascii="Times New Roman" w:hAnsi="Times New Roman" w:cs="Times New Roman"/>
                <w:szCs w:val="21"/>
              </w:rPr>
            </w:pPr>
            <w:r>
              <w:rPr>
                <w:rFonts w:hint="default" w:ascii="Times New Roman" w:hAnsi="Times New Roman" w:cs="Times New Roman"/>
                <w:szCs w:val="21"/>
              </w:rPr>
              <w:t>□ 6. 1 建筑面积≥2000㎡的公共图书馆、展览馆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5"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spacing w:line="312" w:lineRule="auto"/>
              <w:rPr>
                <w:rFonts w:hint="default" w:ascii="Times New Roman" w:hAnsi="Times New Roman" w:cs="Times New Roman"/>
                <w:szCs w:val="21"/>
              </w:rPr>
            </w:pPr>
            <w:r>
              <w:rPr>
                <w:rFonts w:hint="default" w:ascii="Times New Roman" w:hAnsi="Times New Roman" w:cs="Times New Roman"/>
                <w:szCs w:val="21"/>
              </w:rPr>
              <w:t>□ 6 .2 公共博物馆、档案馆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2"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spacing w:line="312" w:lineRule="auto"/>
              <w:rPr>
                <w:rFonts w:hint="default" w:ascii="Times New Roman" w:hAnsi="Times New Roman" w:cs="Times New Roman"/>
                <w:szCs w:val="21"/>
              </w:rPr>
            </w:pPr>
            <w:r>
              <w:rPr>
                <w:rFonts w:hint="default" w:ascii="Times New Roman" w:hAnsi="Times New Roman" w:cs="Times New Roman"/>
                <w:szCs w:val="21"/>
              </w:rPr>
              <w:t>□ 6. 3 具有火灾危险性的县级以上文物保护单位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3"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restart"/>
            <w:noWrap w:val="0"/>
            <w:vAlign w:val="center"/>
          </w:tcPr>
          <w:p>
            <w:pPr>
              <w:rPr>
                <w:rFonts w:hint="default" w:ascii="Times New Roman" w:hAnsi="Times New Roman" w:cs="Times New Roman"/>
                <w:szCs w:val="21"/>
              </w:rPr>
            </w:pPr>
            <w:r>
              <w:rPr>
                <w:rFonts w:hint="default" w:ascii="Times New Roman" w:hAnsi="Times New Roman" w:cs="Times New Roman"/>
                <w:szCs w:val="21"/>
              </w:rPr>
              <w:t>□ 7、发电厂（站）和电网经营企业</w:t>
            </w: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7. 1 发电厂（站）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7. 2 县以上供电公司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restart"/>
            <w:noWrap w:val="0"/>
            <w:vAlign w:val="top"/>
          </w:tcPr>
          <w:p>
            <w:pPr>
              <w:rPr>
                <w:rFonts w:hint="default" w:ascii="Times New Roman" w:hAnsi="Times New Roman" w:cs="Times New Roman"/>
                <w:szCs w:val="21"/>
              </w:rPr>
            </w:pPr>
          </w:p>
          <w:p>
            <w:pPr>
              <w:rPr>
                <w:rFonts w:hint="default" w:ascii="Times New Roman" w:hAnsi="Times New Roman" w:cs="Times New Roman"/>
                <w:szCs w:val="21"/>
              </w:rPr>
            </w:pPr>
            <w:r>
              <w:rPr>
                <w:rFonts w:hint="default" w:ascii="Times New Roman" w:hAnsi="Times New Roman" w:cs="Times New Roman"/>
                <w:szCs w:val="21"/>
              </w:rPr>
              <w:t>□ 8、易燃易爆化学物品的生产、充装、储存、供应、销售单位</w:t>
            </w: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8. 1 生产易燃易爆化学物品的工厂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2"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xml:space="preserve">□ 8. 2 </w:t>
            </w:r>
            <w:r>
              <w:rPr>
                <w:rFonts w:hint="default" w:ascii="Times New Roman" w:hAnsi="Times New Roman" w:cs="Times New Roman"/>
                <w:spacing w:val="-4"/>
                <w:szCs w:val="21"/>
              </w:rPr>
              <w:t>易燃易爆气体和液体的灌装站、调压站、气化站、混气站经营管理单位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1"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8. 3 易燃易爆化学物品的专业储存单位（仓库、堆场、储罐场所）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539" w:type="dxa"/>
            <w:vMerge w:val="continue"/>
            <w:tcBorders>
              <w:left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tcBorders>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8. 4 营业性汽车加油站、加气站、液化石油气供应站（换瓶站）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539" w:type="dxa"/>
            <w:vMerge w:val="continue"/>
            <w:tcBorders>
              <w:left w:val="single" w:color="auto" w:sz="4" w:space="0"/>
              <w:bottom w:val="single" w:color="auto" w:sz="4" w:space="0"/>
            </w:tcBorders>
            <w:noWrap w:val="0"/>
            <w:vAlign w:val="top"/>
          </w:tcPr>
          <w:p>
            <w:pPr>
              <w:jc w:val="center"/>
              <w:rPr>
                <w:rFonts w:hint="default" w:ascii="Times New Roman" w:hAnsi="Times New Roman" w:cs="Times New Roman"/>
                <w:szCs w:val="21"/>
              </w:rPr>
            </w:pPr>
          </w:p>
        </w:tc>
        <w:tc>
          <w:tcPr>
            <w:tcW w:w="2342" w:type="dxa"/>
            <w:gridSpan w:val="3"/>
            <w:vMerge w:val="continue"/>
            <w:tcBorders>
              <w:bottom w:val="single" w:color="auto" w:sz="4" w:space="0"/>
            </w:tcBorders>
            <w:noWrap w:val="0"/>
            <w:vAlign w:val="top"/>
          </w:tcPr>
          <w:p>
            <w:pPr>
              <w:rPr>
                <w:rFonts w:hint="default" w:ascii="Times New Roman" w:hAnsi="Times New Roman" w:cs="Times New Roman"/>
                <w:szCs w:val="21"/>
              </w:rPr>
            </w:pPr>
          </w:p>
        </w:tc>
        <w:tc>
          <w:tcPr>
            <w:tcW w:w="7636" w:type="dxa"/>
            <w:gridSpan w:val="8"/>
            <w:tcBorders>
              <w:bottom w:val="single" w:color="auto" w:sz="4" w:space="0"/>
              <w:right w:val="single" w:color="auto" w:sz="4" w:space="0"/>
            </w:tcBorders>
            <w:noWrap w:val="0"/>
            <w:vAlign w:val="top"/>
          </w:tcPr>
          <w:p>
            <w:pPr>
              <w:rPr>
                <w:rFonts w:hint="default" w:ascii="Times New Roman" w:hAnsi="Times New Roman" w:cs="Times New Roman"/>
                <w:szCs w:val="21"/>
              </w:rPr>
            </w:pPr>
            <w:r>
              <w:rPr>
                <w:rFonts w:hint="default" w:ascii="Times New Roman" w:hAnsi="Times New Roman" w:cs="Times New Roman"/>
                <w:szCs w:val="21"/>
              </w:rPr>
              <w:t>□ 8. 5 经营甲、乙类易燃易爆化学物品且建筑面积≥50㎡的商店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exact"/>
          <w:jc w:val="center"/>
        </w:trPr>
        <w:tc>
          <w:tcPr>
            <w:tcW w:w="539" w:type="dxa"/>
            <w:vMerge w:val="restart"/>
            <w:noWrap w:val="0"/>
            <w:vAlign w:val="top"/>
          </w:tcPr>
          <w:p>
            <w:pPr>
              <w:rPr>
                <w:rFonts w:hint="default" w:ascii="Times New Roman" w:hAnsi="Times New Roman" w:cs="Times New Roman"/>
                <w:sz w:val="36"/>
                <w:szCs w:val="36"/>
              </w:rPr>
            </w:pPr>
          </w:p>
        </w:tc>
        <w:tc>
          <w:tcPr>
            <w:tcW w:w="2342" w:type="dxa"/>
            <w:gridSpan w:val="3"/>
            <w:vMerge w:val="restart"/>
            <w:noWrap w:val="0"/>
            <w:vAlign w:val="center"/>
          </w:tcPr>
          <w:p>
            <w:pPr>
              <w:rPr>
                <w:rFonts w:hint="default" w:ascii="Times New Roman" w:hAnsi="Times New Roman" w:cs="Times New Roman"/>
                <w:sz w:val="36"/>
                <w:szCs w:val="36"/>
              </w:rPr>
            </w:pPr>
            <w:r>
              <w:rPr>
                <w:rFonts w:hint="default" w:ascii="Times New Roman" w:hAnsi="Times New Roman" w:cs="Times New Roman"/>
                <w:szCs w:val="21"/>
              </w:rPr>
              <w:t>□ 9、劳动密集型生产、加工企业</w:t>
            </w:r>
          </w:p>
        </w:tc>
        <w:tc>
          <w:tcPr>
            <w:tcW w:w="7636" w:type="dxa"/>
            <w:gridSpan w:val="8"/>
            <w:noWrap w:val="0"/>
            <w:vAlign w:val="center"/>
          </w:tcPr>
          <w:p>
            <w:pPr>
              <w:spacing w:line="480" w:lineRule="auto"/>
              <w:jc w:val="both"/>
              <w:rPr>
                <w:rFonts w:hint="default" w:ascii="Times New Roman" w:hAnsi="Times New Roman" w:cs="Times New Roman"/>
                <w:sz w:val="36"/>
                <w:szCs w:val="36"/>
              </w:rPr>
            </w:pPr>
            <w:r>
              <w:rPr>
                <w:rFonts w:hint="default" w:ascii="Times New Roman" w:hAnsi="Times New Roman" w:cs="Times New Roman"/>
                <w:szCs w:val="21"/>
              </w:rPr>
              <w:t>□ 9. 1生产车间员工在100人以上的服装、鞋帽、玩具等劳动密集型企业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exac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noWrap w:val="0"/>
            <w:vAlign w:val="top"/>
          </w:tcPr>
          <w:p>
            <w:pPr>
              <w:spacing w:line="480" w:lineRule="auto"/>
              <w:rPr>
                <w:rFonts w:hint="default" w:ascii="Times New Roman" w:hAnsi="Times New Roman" w:cs="Times New Roman"/>
                <w:szCs w:val="21"/>
              </w:rPr>
            </w:pPr>
            <w:r>
              <w:rPr>
                <w:rFonts w:hint="default" w:ascii="Times New Roman" w:hAnsi="Times New Roman" w:cs="Times New Roman"/>
                <w:szCs w:val="21"/>
              </w:rPr>
              <w:t>□ 9. 2单体建筑面积在3000平方米以上洁净厂房，电子厂房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1" w:hRule="exac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center"/>
          </w:tcPr>
          <w:p>
            <w:pPr>
              <w:rPr>
                <w:rFonts w:hint="default" w:ascii="Times New Roman" w:hAnsi="Times New Roman" w:cs="Times New Roman"/>
                <w:szCs w:val="21"/>
              </w:rPr>
            </w:pPr>
          </w:p>
        </w:tc>
        <w:tc>
          <w:tcPr>
            <w:tcW w:w="7636" w:type="dxa"/>
            <w:gridSpan w:val="8"/>
            <w:noWrap w:val="0"/>
            <w:vAlign w:val="center"/>
          </w:tcPr>
          <w:p>
            <w:pPr>
              <w:spacing w:line="480" w:lineRule="auto"/>
              <w:jc w:val="both"/>
              <w:rPr>
                <w:rFonts w:hint="default" w:ascii="Times New Roman" w:hAnsi="Times New Roman" w:cs="Times New Roman"/>
                <w:szCs w:val="21"/>
              </w:rPr>
            </w:pPr>
            <w:r>
              <w:rPr>
                <w:rFonts w:hint="default" w:ascii="Times New Roman" w:hAnsi="Times New Roman" w:cs="Times New Roman"/>
                <w:szCs w:val="21"/>
              </w:rPr>
              <w:t>□ 9. 3单体建筑面积在5000平方米以上的其他丙类厂房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restart"/>
            <w:noWrap w:val="0"/>
            <w:vAlign w:val="center"/>
          </w:tcPr>
          <w:p>
            <w:pPr>
              <w:rPr>
                <w:rFonts w:hint="default" w:ascii="Times New Roman" w:hAnsi="Times New Roman" w:cs="Times New Roman"/>
                <w:sz w:val="36"/>
                <w:szCs w:val="36"/>
              </w:rPr>
            </w:pPr>
            <w:r>
              <w:rPr>
                <w:rFonts w:hint="default" w:ascii="Times New Roman" w:hAnsi="Times New Roman" w:cs="Times New Roman"/>
                <w:szCs w:val="21"/>
              </w:rPr>
              <w:t>□ 10、重要的科研单位</w:t>
            </w: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10. 1省级以上科研单位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8"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10. 2设备总价值在5000万元以上的科研单位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10. 3科研试验中具有较大火灾爆炸危险性的科研单位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restart"/>
            <w:noWrap w:val="0"/>
            <w:vAlign w:val="top"/>
          </w:tcPr>
          <w:p>
            <w:pPr>
              <w:rPr>
                <w:rFonts w:hint="default" w:ascii="Times New Roman" w:hAnsi="Times New Roman" w:cs="Times New Roman"/>
                <w:szCs w:val="21"/>
              </w:rPr>
            </w:pPr>
          </w:p>
          <w:p>
            <w:pPr>
              <w:rPr>
                <w:rFonts w:hint="default" w:ascii="Times New Roman" w:hAnsi="Times New Roman" w:cs="Times New Roman"/>
                <w:szCs w:val="21"/>
              </w:rPr>
            </w:pPr>
          </w:p>
          <w:p>
            <w:pPr>
              <w:rPr>
                <w:rFonts w:hint="default" w:ascii="Times New Roman" w:hAnsi="Times New Roman" w:cs="Times New Roman"/>
                <w:szCs w:val="21"/>
              </w:rPr>
            </w:pPr>
          </w:p>
          <w:p>
            <w:pPr>
              <w:rPr>
                <w:rFonts w:hint="default" w:ascii="Times New Roman" w:hAnsi="Times New Roman" w:cs="Times New Roman"/>
                <w:sz w:val="36"/>
                <w:szCs w:val="36"/>
              </w:rPr>
            </w:pPr>
            <w:r>
              <w:rPr>
                <w:rFonts w:hint="default" w:ascii="Times New Roman" w:hAnsi="Times New Roman" w:cs="Times New Roman"/>
                <w:szCs w:val="21"/>
              </w:rPr>
              <w:t>□ 11、高层公共建筑、地下铁道、地下观光隧道，粮、棉、木材、百货等物资仓库和堆场，重点工程的施工现场</w:t>
            </w: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11. 1高层公共建筑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3"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11. 2城市地下铁道、地下观光隧道等地下公共建筑和城市重要交通隧道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11. 3国家储备粮库、总储量在10000吨以上的其他粮库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1"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11. 4总储量在500吨以上或占地面积在1000平方米以上的棉、毛、丝、麻、化纤、毛皮及其制品仓库；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11. 5总储量在10000立方米以上的木材堆场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autoSpaceDE w:val="0"/>
              <w:autoSpaceDN w:val="0"/>
              <w:adjustRightInd w:val="0"/>
              <w:rPr>
                <w:rFonts w:hint="default" w:ascii="Times New Roman" w:hAnsi="Times New Roman" w:cs="Times New Roman"/>
                <w:szCs w:val="21"/>
              </w:rPr>
            </w:pPr>
            <w:r>
              <w:rPr>
                <w:rFonts w:hint="default" w:ascii="Times New Roman" w:hAnsi="Times New Roman" w:cs="Times New Roman"/>
                <w:szCs w:val="21"/>
              </w:rPr>
              <w:t>□ 11. 6 总储存价值在1000万元以上或单体建筑面积在3000平方米以上的丙类物品仓库、堆场、中转库(站)、物流仓库；总储存价值在5000万元以上或单体建筑面积在1万平方米或总建筑面积在3万平方米以上的其他物品仓库、堆场、中转库(站)、物流仓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7"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Cs w:val="21"/>
              </w:rPr>
            </w:pPr>
            <w:r>
              <w:rPr>
                <w:rFonts w:hint="default" w:ascii="Times New Roman" w:hAnsi="Times New Roman" w:cs="Times New Roman"/>
                <w:szCs w:val="21"/>
              </w:rPr>
              <w:t>□ 11. 7国家和省级等重点工程的施工现场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7"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restart"/>
            <w:noWrap w:val="0"/>
            <w:vAlign w:val="top"/>
          </w:tcPr>
          <w:p>
            <w:pPr>
              <w:rPr>
                <w:rFonts w:hint="default" w:ascii="Times New Roman" w:hAnsi="Times New Roman" w:cs="Times New Roman"/>
                <w:szCs w:val="21"/>
              </w:rPr>
            </w:pPr>
          </w:p>
          <w:p>
            <w:pPr>
              <w:rPr>
                <w:rFonts w:hint="default" w:ascii="Times New Roman" w:hAnsi="Times New Roman" w:cs="Times New Roman"/>
                <w:szCs w:val="21"/>
              </w:rPr>
            </w:pPr>
          </w:p>
          <w:p>
            <w:pPr>
              <w:rPr>
                <w:rFonts w:hint="default" w:ascii="Times New Roman" w:hAnsi="Times New Roman" w:cs="Times New Roman"/>
                <w:sz w:val="36"/>
                <w:szCs w:val="36"/>
              </w:rPr>
            </w:pPr>
            <w:r>
              <w:rPr>
                <w:rFonts w:hint="default" w:ascii="Times New Roman" w:hAnsi="Times New Roman" w:cs="Times New Roman"/>
                <w:szCs w:val="21"/>
              </w:rPr>
              <w:t>□ 12、其他发生火灾可能性较大以及一旦发生火灾可能造成人身重大伤亡或者财产重大损失的单位</w:t>
            </w: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12. 1固定资产（建筑、设备、原材料等）价值在1亿元以上的企业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9"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12. 2营业厅（室）建筑面积≥500㎡的证券、期货等交易场所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12. 3市（地）级以上报社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9"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12. 4支行级以上银行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12. 5使用易燃易爆化学物品且储存量在10吨以上的单位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12. 6易燃易爆化学物品专业运输单位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12. 7具有经营性质的车位在50辆以上的汽车库和车位在100辆以上的停车场以及修理停车位在10辆以上的汽车4S店、汽车修理厂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5"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 w:val="36"/>
                <w:szCs w:val="36"/>
              </w:rPr>
            </w:pPr>
            <w:r>
              <w:rPr>
                <w:rFonts w:hint="default" w:ascii="Times New Roman" w:hAnsi="Times New Roman" w:cs="Times New Roman"/>
                <w:szCs w:val="21"/>
              </w:rPr>
              <w:t>□ 12. 8重要的旅游风景点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 w:hRule="atLeast"/>
          <w:jc w:val="center"/>
        </w:trPr>
        <w:tc>
          <w:tcPr>
            <w:tcW w:w="539" w:type="dxa"/>
            <w:vMerge w:val="continue"/>
            <w:noWrap w:val="0"/>
            <w:vAlign w:val="top"/>
          </w:tcPr>
          <w:p>
            <w:pPr>
              <w:rPr>
                <w:rFonts w:hint="default" w:ascii="Times New Roman" w:hAnsi="Times New Roman" w:cs="Times New Roman"/>
                <w:sz w:val="36"/>
                <w:szCs w:val="36"/>
              </w:rPr>
            </w:pPr>
          </w:p>
        </w:tc>
        <w:tc>
          <w:tcPr>
            <w:tcW w:w="2342" w:type="dxa"/>
            <w:gridSpan w:val="3"/>
            <w:vMerge w:val="continue"/>
            <w:noWrap w:val="0"/>
            <w:vAlign w:val="top"/>
          </w:tcPr>
          <w:p>
            <w:pPr>
              <w:rPr>
                <w:rFonts w:hint="default" w:ascii="Times New Roman" w:hAnsi="Times New Roman" w:cs="Times New Roman"/>
                <w:szCs w:val="21"/>
              </w:rPr>
            </w:pPr>
          </w:p>
        </w:tc>
        <w:tc>
          <w:tcPr>
            <w:tcW w:w="7636" w:type="dxa"/>
            <w:gridSpan w:val="8"/>
            <w:noWrap w:val="0"/>
            <w:vAlign w:val="top"/>
          </w:tcPr>
          <w:p>
            <w:pPr>
              <w:rPr>
                <w:rFonts w:hint="default" w:ascii="Times New Roman" w:hAnsi="Times New Roman" w:cs="Times New Roman"/>
                <w:szCs w:val="21"/>
              </w:rPr>
            </w:pPr>
            <w:r>
              <w:rPr>
                <w:rFonts w:hint="default" w:ascii="Times New Roman" w:hAnsi="Times New Roman" w:cs="Times New Roman"/>
                <w:szCs w:val="21"/>
              </w:rPr>
              <w:t>□ 12. 9其他具有较大火灾危险性或发生火灾后可能造成重大危害的单位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27" w:hRule="atLeast"/>
          <w:jc w:val="center"/>
        </w:trPr>
        <w:tc>
          <w:tcPr>
            <w:tcW w:w="10517" w:type="dxa"/>
            <w:gridSpan w:val="12"/>
            <w:noWrap w:val="0"/>
            <w:vAlign w:val="top"/>
          </w:tcPr>
          <w:p>
            <w:pPr>
              <w:rPr>
                <w:rFonts w:hint="default" w:ascii="Times New Roman" w:hAnsi="Times New Roman" w:cs="Times New Roman"/>
                <w:sz w:val="36"/>
                <w:szCs w:val="36"/>
              </w:rPr>
            </w:pPr>
            <w:r>
              <w:rPr>
                <w:rFonts w:hint="default" w:ascii="Times New Roman" w:hAnsi="Times New Roman" w:cs="Times New Roman"/>
                <w:sz w:val="36"/>
                <w:szCs w:val="36"/>
              </w:rPr>
              <w:t xml:space="preserve">  </w:t>
            </w:r>
            <w:r>
              <w:rPr>
                <w:rFonts w:hint="default" w:ascii="Times New Roman" w:hAnsi="Times New Roman" w:cs="Times New Roman"/>
                <w:szCs w:val="21"/>
              </w:rPr>
              <w:t>根据公安部《机关、团体、企业、事业单位消防安全管理规定》和《江苏省消防安全重点单位界定标准》，你单位应属消防安全重点单位，现予以登记。</w:t>
            </w:r>
          </w:p>
          <w:p>
            <w:pPr>
              <w:ind w:firstLine="3045" w:firstLineChars="1450"/>
              <w:rPr>
                <w:rFonts w:hint="default" w:ascii="Times New Roman" w:hAnsi="Times New Roman" w:cs="Times New Roman"/>
                <w:szCs w:val="21"/>
              </w:rPr>
            </w:pPr>
            <w:r>
              <w:rPr>
                <w:rFonts w:hint="default" w:ascii="Times New Roman" w:hAnsi="Times New Roman" w:cs="Times New Roman"/>
                <w:szCs w:val="21"/>
              </w:rPr>
              <w:t>法定代表人或主要负责人（签名）</w:t>
            </w:r>
          </w:p>
          <w:p>
            <w:pPr>
              <w:ind w:firstLine="4935" w:firstLineChars="2350"/>
              <w:rPr>
                <w:rFonts w:hint="default" w:ascii="Times New Roman" w:hAnsi="Times New Roman" w:cs="Times New Roman"/>
                <w:szCs w:val="21"/>
              </w:rPr>
            </w:pPr>
          </w:p>
          <w:p>
            <w:pPr>
              <w:ind w:firstLine="4935" w:firstLineChars="2350"/>
              <w:rPr>
                <w:rFonts w:hint="default" w:ascii="Times New Roman" w:hAnsi="Times New Roman" w:cs="Times New Roman"/>
                <w:szCs w:val="21"/>
              </w:rPr>
            </w:pPr>
            <w:r>
              <w:rPr>
                <w:rFonts w:hint="default" w:ascii="Times New Roman" w:hAnsi="Times New Roman" w:cs="Times New Roman"/>
                <w:szCs w:val="21"/>
              </w:rPr>
              <w:t>单位（盖章）</w:t>
            </w:r>
          </w:p>
          <w:p>
            <w:pPr>
              <w:rPr>
                <w:rFonts w:hint="default" w:ascii="Times New Roman" w:hAnsi="Times New Roman" w:cs="Times New Roman"/>
                <w:szCs w:val="21"/>
              </w:rPr>
            </w:pPr>
            <w:r>
              <w:rPr>
                <w:rFonts w:hint="default" w:ascii="Times New Roman" w:hAnsi="Times New Roman" w:cs="Times New Roman"/>
                <w:sz w:val="36"/>
                <w:szCs w:val="36"/>
              </w:rPr>
              <w:t xml:space="preserve">                                  </w:t>
            </w:r>
            <w:r>
              <w:rPr>
                <w:rFonts w:hint="default" w:ascii="Times New Roman" w:hAnsi="Times New Roman" w:cs="Times New Roman"/>
                <w:szCs w:val="21"/>
              </w:rPr>
              <w:t xml:space="preserve"> 年         月        日</w:t>
            </w: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方正仿宋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zOTg2NWMyNWNjOTBiMTc2OWJiZDYzMTY5NmNiMDIifQ=="/>
  </w:docVars>
  <w:rsids>
    <w:rsidRoot w:val="41A3478D"/>
    <w:rsid w:val="41A347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3">
    <w:name w:val="Default Paragraph Font"/>
    <w:semiHidden/>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2023-10-08T09:31:00Z</dcterms:created>
  <dc:creator>韵子姐</dc:creator>
  <cp:lastModifiedBy>韵子姐</cp:lastModifiedBy>
  <dcterms:modified xsi:type="dcterms:W3CDTF">2023-10-08T09:32:07Z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3A28518688224A12A1847C1B762A3FEA_11</vt:lpwstr>
  </property>
</Properties>
</file>